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D6127A"/>
          <w:sz w:val="56"/>
          <w:szCs w:val="56"/>
        </w:rPr>
        <w:t xml:space="preserve">Flynker</w:t>
      </w:r>
    </w:p>
    <w:p>
      <w:pPr>
        <w:spacing w:after="40"/>
      </w:pPr>
      <w:r>
        <w:rPr>
          <w:b/>
          <w:bCs/>
          <w:color w:val="0B1D3A"/>
          <w:sz w:val="26"/>
          <w:szCs w:val="26"/>
        </w:rPr>
        <w:t xml:space="preserve">Investor FAQ — Cap Table, Legal &amp; Fundraising Summary, Technical Architecture</w:t>
      </w:r>
    </w:p>
    <w:p>
      <w:pPr>
        <w:spacing w:after="300"/>
      </w:pPr>
      <w:r>
        <w:rPr>
          <w:i/>
          <w:iCs/>
          <w:color w:val="555555"/>
          <w:sz w:val="19"/>
          <w:szCs w:val="19"/>
        </w:rPr>
        <w:t xml:space="preserve">Prepared for investor due diligence  ·  Pre-Seed Round (₹1.5 Cr)  ·  Strictly Confidential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20"/>
          <w:left w:type="dxa" w:w="160"/>
          <w:bottom w:type="dxa" w:w="120"/>
          <w:right w:type="dxa" w:w="160"/>
        </w:tblCellMar>
      </w:tblPr>
      <w:tblGrid>
        <w:gridCol w:w="100"/>
      </w:tblGrid>
      <w:tr>
        <w:tc>
          <w:tcPr>
            <w:tcBorders>
              <w:top w:val="single" w:color="D6A100" w:sz="6"/>
              <w:left w:val="single" w:color="D6A100" w:sz="6"/>
              <w:bottom w:val="single" w:color="D6A100" w:sz="6"/>
              <w:right w:val="single" w:color="D6A100" w:sz="6"/>
            </w:tcBorders>
            <w:shd w:fill="FFF4CE" w:val="clear"/>
          </w:tcPr>
          <w:p>
            <w:pPr>
              <w:spacing w:after="60"/>
            </w:pPr>
            <w:r>
              <w:rPr>
                <w:b/>
                <w:bCs/>
                <w:color w:val="6B5200"/>
                <w:sz w:val="20"/>
                <w:szCs w:val="20"/>
              </w:rPr>
              <w:t xml:space="preserve">⚠ A note on this document</w:t>
            </w:r>
          </w:p>
          <w:p>
            <w:r>
              <w:rPr>
                <w:i w:val="false"/>
                <w:iCs w:val="false"/>
                <w:color w:val="4A3C00"/>
                <w:sz w:val="20"/>
                <w:szCs w:val="20"/>
              </w:rPr>
              <w:t xml:space="preserve">This FAQ is built directly from Flynker's closed Share Subscription Agreement, financial model (v6), and legal pack. It reflects the current, founder-confirmed instrument choice (iSAFE for new investors) and product build status as of this version — keep it in sync if either changes.</w:t>
            </w:r>
          </w:p>
        </w:tc>
      </w:tr>
    </w:tbl>
    <w:p>
      <w:pPr>
        <w:pBdr>
          <w:bottom w:val="single" w:color="D6127A" w:sz="6" w:space="4"/>
        </w:pBdr>
        <w:spacing w:after="160" w:before="320"/>
      </w:pPr>
      <w:r>
        <w:rPr>
          <w:b/>
          <w:bCs/>
          <w:color w:val="0B1D3A"/>
          <w:sz w:val="30"/>
          <w:szCs w:val="30"/>
        </w:rPr>
        <w:t xml:space="preserve">1. Cap Table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What is the current cap table, and how does it change with this round?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Flynker's cap table is affected by two tranches: Sridhar Sampathirao's anchor tranche, which has already closed, and the new pre-seed tranche currently being raised from new investors.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300"/>
        <w:gridCol w:w="1700"/>
        <w:gridCol w:w="1900"/>
        <w:gridCol w:w="3100"/>
      </w:tblGrid>
      <w:tr>
        <w:trPr>
          <w:tblHeader/>
        </w:trPr>
        <w:tc>
          <w:tcPr>
            <w:tcW w:type="dxa" w:w="2000"/>
            <w:shd w:fill="0B1D3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Shareholder</w:t>
            </w:r>
          </w:p>
        </w:tc>
        <w:tc>
          <w:tcPr>
            <w:tcW w:type="dxa" w:w="1300"/>
            <w:shd w:fill="0B1D3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Pre-Round</w:t>
            </w:r>
          </w:p>
        </w:tc>
        <w:tc>
          <w:tcPr>
            <w:tcW w:type="dxa" w:w="1700"/>
            <w:shd w:fill="0B1D3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After Sridhar's Tranche</w:t>
            </w:r>
          </w:p>
        </w:tc>
        <w:tc>
          <w:tcPr>
            <w:tcW w:type="dxa" w:w="1900"/>
            <w:shd w:fill="0B1D3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After New Tranche (Final)</w:t>
            </w:r>
          </w:p>
        </w:tc>
        <w:tc>
          <w:tcPr>
            <w:tcW w:type="dxa" w:w="3100"/>
            <w:shd w:fill="0B1D3A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Founder &amp; CEO — Tharun Bandla (Tharun Tejh)</w:t>
            </w:r>
          </w:p>
        </w:tc>
        <w:tc>
          <w:tcPr>
            <w:tcW w:type="dxa" w:w="13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70%</w:t>
            </w:r>
          </w:p>
        </w:tc>
        <w:tc>
          <w:tcPr>
            <w:tcW w:type="dxa" w:w="17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69.55%</w:t>
            </w:r>
          </w:p>
        </w:tc>
        <w:tc>
          <w:tcPr>
            <w:tcW w:type="dxa" w:w="19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61.20%</w:t>
            </w:r>
          </w:p>
        </w:tc>
        <w:tc>
          <w:tcPr>
            <w:tcW w:type="dxa" w:w="31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Pre-round 70% holder; subject to founder vesting terms per legal pack</w:t>
            </w:r>
          </w:p>
        </w:tc>
      </w:tr>
      <w:tr>
        <w:tc>
          <w:tcPr>
            <w:tcW w:type="dxa" w:w="2000"/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Co-Founder &amp; CTO — Vinay Kumar Racharla</w:t>
            </w:r>
          </w:p>
        </w:tc>
        <w:tc>
          <w:tcPr>
            <w:tcW w:type="dxa" w:w="1300"/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30%</w:t>
            </w:r>
          </w:p>
        </w:tc>
        <w:tc>
          <w:tcPr>
            <w:tcW w:type="dxa" w:w="1700"/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29.81%</w:t>
            </w:r>
          </w:p>
        </w:tc>
        <w:tc>
          <w:tcPr>
            <w:tcW w:type="dxa" w:w="1900"/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26.23%</w:t>
            </w:r>
          </w:p>
        </w:tc>
        <w:tc>
          <w:tcPr>
            <w:tcW w:type="dxa" w:w="3100"/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4-year vesting, 1-year cliff</w:t>
            </w:r>
          </w:p>
        </w:tc>
      </w:tr>
      <w:tr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Sridhar Sampathirao (closed tranche)</w:t>
            </w:r>
          </w:p>
        </w:tc>
        <w:tc>
          <w:tcPr>
            <w:tcW w:type="dxa" w:w="13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7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0.65%</w:t>
            </w:r>
          </w:p>
        </w:tc>
        <w:tc>
          <w:tcPr>
            <w:tcW w:type="dxa" w:w="19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0.57%</w:t>
            </w:r>
          </w:p>
        </w:tc>
        <w:tc>
          <w:tcPr>
            <w:tcW w:type="dxa" w:w="31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₹5.2L for 650 shares, signed SSA. Separately holds an option for up to +1.35% (contingent, not shown here)</w:t>
            </w:r>
          </w:p>
        </w:tc>
      </w:tr>
      <w:tr>
        <w:tc>
          <w:tcPr>
            <w:tcW w:type="dxa" w:w="2000"/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New Pre-Seed Investors</w:t>
            </w:r>
          </w:p>
        </w:tc>
        <w:tc>
          <w:tcPr>
            <w:tcW w:type="dxa" w:w="1300"/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700"/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1900"/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12.00%</w:t>
            </w:r>
          </w:p>
        </w:tc>
        <w:tc>
          <w:tcPr>
            <w:tcW w:type="dxa" w:w="3100"/>
            <w:shd w:fill="FFFFFF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Priced at new-tranche valuation (₹10.62 Cr pre-money / ₹12.07 Cr post-money)</w:t>
            </w:r>
          </w:p>
        </w:tc>
      </w:tr>
      <w:tr>
        <w:tc>
          <w:tcPr>
            <w:tcW w:type="dxa" w:w="2000"/>
            <w:shd w:fill="FCE4F0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/>
                <w:bCs/>
                <w:sz w:val="19"/>
                <w:szCs w:val="19"/>
              </w:rPr>
              <w:t xml:space="preserve">TOTAL</w:t>
            </w:r>
          </w:p>
        </w:tc>
        <w:tc>
          <w:tcPr>
            <w:tcW w:type="dxa" w:w="1300"/>
            <w:shd w:fill="FCE4F0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/>
                <w:bCs/>
                <w:sz w:val="19"/>
                <w:szCs w:val="19"/>
              </w:rPr>
              <w:t xml:space="preserve">100%</w:t>
            </w:r>
          </w:p>
        </w:tc>
        <w:tc>
          <w:tcPr>
            <w:tcW w:type="dxa" w:w="1700"/>
            <w:shd w:fill="FCE4F0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/>
                <w:bCs/>
                <w:sz w:val="19"/>
                <w:szCs w:val="19"/>
              </w:rPr>
              <w:t xml:space="preserve">100%</w:t>
            </w:r>
          </w:p>
        </w:tc>
        <w:tc>
          <w:tcPr>
            <w:tcW w:type="dxa" w:w="1900"/>
            <w:shd w:fill="FCE4F0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/>
                <w:bCs/>
                <w:sz w:val="19"/>
                <w:szCs w:val="19"/>
              </w:rPr>
              <w:t xml:space="preserve">100%</w:t>
            </w:r>
          </w:p>
        </w:tc>
        <w:tc>
          <w:tcPr>
            <w:tcW w:type="dxa" w:w="3100"/>
            <w:shd w:fill="FCE4F0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r>
              <w:rPr>
                <w:b/>
                <w:bCs/>
                <w:sz w:val="19"/>
                <w:szCs w:val="19"/>
              </w:rPr>
              <w:t xml:space="preserve"/>
            </w:r>
          </w:p>
        </w:tc>
      </w:tr>
    </w:tbl>
    <w:p>
      <w:pPr>
        <w:spacing w:after="200" w:before="120"/>
      </w:pPr>
      <w:r>
        <w:rPr>
          <w:i/>
          <w:iCs/>
          <w:color w:val="666666"/>
          <w:sz w:val="17"/>
          <w:szCs w:val="17"/>
        </w:rPr>
        <w:t xml:space="preserve">Figures per the Valuation and Funding Ask tabs of the Pre-Seed Financial Model v6.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What is the underlying share structure?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Face value: ₹1 per share.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Authorized share capital: 10,00,000 shares.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Issued at incorporation: 1,00,000 shares — Tharun Bandla (Tharun Tejh), Founder &amp; CEO: 70%; Vinay Kumar Racharla, Co-Founder &amp; CTO: 30%.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Vinay's 30% is subject to a 4-year vesting schedule with a 1-year cliff, per the Co-Founder Agreement and Vesting Annexure.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What did the anchor investor (Sridhar Sampathirao) actually close on?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₹5.2 lakh for 0.65% equity via a signed Share Subscription Agreement — implied post-money valuation of ₹8 Cr on that tranche.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Separately, Sridhar holds an Advisory Option for up to a further 1.35% (up to 1,350 shares), vesting monthly over 12 months. This option is contingent on continued advisory engagement and on the Company closing ≥₹1.5 Cr in this round with ≥90% of that amount received, and is priced at fair market value on the future allotment date.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Sridhar's total potential stake is therefore up to ~2% (0.65% closed + up to 1.35% contingent), and this sits entirely outside and on top of the 12% offered to new investors below — it does not dilute the new-investor pool.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What are new pre-seed investors being offered?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Up to 12% of the company, capped, priced off the new-tranche valuation: ₹10.62 Cr pre-money / ₹12.07 Cr post-money (new-tranche only — Sridhar's already-closed tranche is excluded from this calculation).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New-tranche investment amount: ₹1.448 Cr, which combined with Sridhar's already-closed ₹5.2 lakh completes the full ₹1.5 Cr round.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Is there an ESOP pool, or any pending equity grants not yet reflected in the cap table above?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Yes — one item is pending and intentionally not yet reflected in the cap table figures above: Sasi Preetham (currently engaged as Chief Technology Advisor) is under discussion to formally join the team with an equity grant. This has not been finalized — no size, vesting start date, or share count has been agreed.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If and when finalized, any grant to Sasi is expected to follow the same structure already in place for Vinay: 4-year vesting with a 1-year cliff.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A separate, previously discussed equity grant to Azhar Shaikh (Head of Operations) was considered and has been confirmed cancelled — he does not hold or expect to hold equity at this time.</w:t>
      </w:r>
    </w:p>
    <w:p>
      <w:pPr>
        <w:pBdr>
          <w:bottom w:val="single" w:color="D6127A" w:sz="6" w:space="4"/>
        </w:pBdr>
        <w:spacing w:after="160" w:before="320"/>
      </w:pPr>
      <w:r>
        <w:rPr>
          <w:b/>
          <w:bCs/>
          <w:color w:val="0B1D3A"/>
          <w:sz w:val="30"/>
          <w:szCs w:val="30"/>
        </w:rPr>
        <w:t xml:space="preserve">2. Legal &amp; Fundraising Summary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What entity is being invested in?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Flynker Cart Private Limited, CIN U47912TS2026PTC215043, incorporated in Warangal, Telangana, India.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What instrument is being used for this round?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New pre-seed investors: iSAFE (India Simple Agreement for Future Equity). This was chosen to let the round close quickly — an iSAFE avoids negotiating a priced-round valuation and definitive share terms with each new investor individually, converting to equity at a future priced round instead.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Sridhar Sampathirao's ₹5.2 lakh tranche is a separate, already-closed transaction and remains governed by his signed Share Subscription Agreement (SSA) — that agreement is executed and isn't being changed retroactively.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Net effect: this round uses two instruments side by side — SSA for the closed anchor tranche, iSAFE for the new money still being raised.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What legal documentation exists for this round?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A full legal pack has been prepared: the Share Subscription Agreement (SSA), Board Resolutions, a Vesting Annexure, and Founder Protection Clauses.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This pack was reviewed and confirmed by Sridhar Sampathirao (anchor investor) as part of closing his tranche.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Corporate actions already completed: an Articles of Association (AOA) amendment via the MGT-14 filing process, and a finalized Co-Founder Agreement between Tharun and Vinay.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Who manages compliance, and what's the regulatory posture on public solicitation?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CA Srikanth Thoutam manages statutory and tax compliance. There is currently no Company Secretary on retainer.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Section 42(7) of the Companies Act, 2013 prohibits public solicitation for a private placement of shares. This governs all public-facing language used around the raise (LinkedIn, PR, waitlist messaging) — the round itself is conducted through direct, private outreach to identified investors, not public advertisement.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What legal or compliance items are still open ahead of closing?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A formal valuation report from a registered/independent valuer (e.g., under IBBI norms) has not yet been obtained and should be sourced from CA Srikanth Thoutam or another qualified valuer — the Berkus-method figures in the financial model are directional only and are not a substitute for this.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Final terms and share count for a Sasi Preetham equity grant (see Cap Table section above) remain undecided.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No Company Secretary is currently retained; confirm whether one is needed for this round's filings.</w:t>
      </w:r>
    </w:p>
    <w:p>
      <w:pPr>
        <w:pBdr>
          <w:bottom w:val="single" w:color="D6127A" w:sz="6" w:space="4"/>
        </w:pBdr>
        <w:spacing w:after="160" w:before="320"/>
      </w:pPr>
      <w:r>
        <w:rPr>
          <w:b/>
          <w:bCs/>
          <w:color w:val="0B1D3A"/>
          <w:sz w:val="30"/>
          <w:szCs w:val="30"/>
        </w:rPr>
        <w:t xml:space="preserve">3. Technical Architecture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Is the AI Confidence Engine at flynker.in real, or a mockup?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Real, for MVP purposes. The live Virtual Try-On, Skin Tone Engine, and AI Stylist are built by integrating third-party AI APIs (e.g., image-generation/try-on APIs and an LLM for the stylist) rather than Flynker having trained its own proprietary models yet.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This is a standard, credible way to build and demonstrate an MVP: it proves the product experience and user flow end-to-end on real infrastructure, without the cost and time of training custom models before there's usage data to train them 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Cost basis cited in the financial model — under ₹0.10 per try-on query — reflects this current API-based approach at today's third-party pricing.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What's not yet true, and shouldn't be implied as true: the "our moat is the try-on + styling data loop" and "harder to copy over time" framing in the deck describes where this is headed once enough usage data accumulates to train proprietary models — it is not a claim about today. Similarly, "Returns drop 60%" is the target outcome of the AI layer, not a measured result yet, since there's no completed-order/return data behind it at this stage.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What is the AI Confidence Engine, as designed?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AI Virtual Try-On: lets a shopper see a garment rendered on their own photo rather than a generic model, via a third-party try-on API.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Skin Tone Engine: matches colours/styles against 500+ South Asian skin tones.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AI Personal Stylist: an LLM-based conversational stylist intended to learn a user's taste over repeated interactions.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What is Creator Corner, as designed?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Creator storefronts allowing creators to tag Flynker products in their own content; followers who purchase generate a 15–20% commission to the creator, positioned as a zero-CAC acquisition channel.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Investor materials cite 5+ signed creator LOIs and 300+ creator outreach DMs at a 40% reply rate as early validation of creator-side interest.</w:t>
      </w:r>
    </w:p>
    <w:p>
      <w:pPr>
        <w:spacing w:after="80" w:before="220"/>
      </w:pPr>
      <w:r>
        <w:rPr>
          <w:b/>
          <w:bCs/>
          <w:color w:val="D6127A"/>
          <w:sz w:val="22"/>
          <w:szCs w:val="22"/>
        </w:rPr>
        <w:t xml:space="preserve">Q. </w:t>
      </w:r>
      <w:r>
        <w:rPr>
          <w:b/>
          <w:bCs/>
          <w:color w:val="0B1D3A"/>
          <w:sz w:val="22"/>
          <w:szCs w:val="22"/>
        </w:rPr>
        <w:t xml:space="preserve">What's the roadmap from the current API-based MVP to an in-house platform?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Current MVP (pre-seed stage): the Virtual Try-On, Skin Tone Engine, and AI Stylist run on third-party AI APIs, proving out the full product experience end-to-end before committing engineering spend to custom infrastructure.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Post pre-seed funding: the platform itself — marketplace, checkout, creator/vendor tooling, admin console — moves in-house, built on Flynker's own stack rather than external tooling, while continuing to call third-party AI APIs for the AI layer.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1"/>
          <w:szCs w:val="21"/>
        </w:rPr>
        <w:t xml:space="preserve">At seed stage: with usage and try-on/purchase data accumulated from the live MVP, the AI models (skin-tone matching, styling recommendations) get developed in-house, replacing the third-party API dependency and forming the proprietary data moat referenced in the deck.</w:t>
      </w:r>
    </w:p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5"/>
        <w:szCs w:val="15"/>
      </w:rPr>
      <w:t xml:space="preserve">flynker.in  ·  info@flynker.com  ·  Page </w:t>
    </w:r>
    <w:r>
      <w:rPr>
        <w:color w:val="888888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127A" w:sz="4" w:space="4"/>
      </w:pBdr>
    </w:pPr>
    <w:r>
      <w:rPr>
        <w:color w:val="888888"/>
        <w:sz w:val="15"/>
        <w:szCs w:val="15"/>
      </w:rPr>
      <w:t xml:space="preserve">FLYNKER  ·  INVESTOR FAQ  ·  CONFIDENTIAL  ·  PRE-SEED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2026-07-15T19:06:59.282Z</dcterms:created>
  <dcterms:modified xsi:type="dcterms:W3CDTF">2026-07-15T19:06:59.296Z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